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C05" w:rsidRDefault="00BF1C05" w:rsidP="00BF1C05">
      <w:pPr>
        <w:spacing w:before="100" w:beforeAutospacing="1" w:after="100" w:afterAutospacing="1" w:line="480" w:lineRule="auto"/>
        <w:jc w:val="center"/>
        <w:rPr>
          <w:rFonts w:ascii="Times New Roman" w:hAnsi="Times New Roman" w:cs="Times New Roman"/>
          <w:sz w:val="24"/>
          <w:szCs w:val="24"/>
        </w:rPr>
      </w:pPr>
    </w:p>
    <w:p w:rsidR="00BF1C05" w:rsidRDefault="00BF1C05" w:rsidP="00BF1C05">
      <w:pPr>
        <w:spacing w:before="100" w:beforeAutospacing="1" w:after="100" w:afterAutospacing="1" w:line="480" w:lineRule="auto"/>
        <w:jc w:val="center"/>
        <w:rPr>
          <w:rFonts w:ascii="Times New Roman" w:hAnsi="Times New Roman" w:cs="Times New Roman"/>
          <w:sz w:val="24"/>
          <w:szCs w:val="24"/>
        </w:rPr>
      </w:pPr>
    </w:p>
    <w:p w:rsidR="00BF1C05" w:rsidRDefault="00BF1C05" w:rsidP="00BF1C05">
      <w:pPr>
        <w:spacing w:before="100" w:beforeAutospacing="1" w:after="100" w:afterAutospacing="1" w:line="480" w:lineRule="auto"/>
        <w:jc w:val="center"/>
        <w:rPr>
          <w:rFonts w:ascii="Times New Roman" w:hAnsi="Times New Roman" w:cs="Times New Roman"/>
          <w:sz w:val="24"/>
          <w:szCs w:val="24"/>
        </w:rPr>
      </w:pPr>
    </w:p>
    <w:p w:rsidR="00BF1C05" w:rsidRDefault="00BF1C05" w:rsidP="00BF1C05">
      <w:pPr>
        <w:spacing w:before="100" w:beforeAutospacing="1" w:after="100" w:afterAutospacing="1" w:line="480" w:lineRule="auto"/>
        <w:jc w:val="center"/>
        <w:rPr>
          <w:rFonts w:ascii="Times New Roman" w:hAnsi="Times New Roman" w:cs="Times New Roman"/>
          <w:sz w:val="24"/>
          <w:szCs w:val="24"/>
        </w:rPr>
      </w:pPr>
    </w:p>
    <w:p w:rsidR="00BF1C05" w:rsidRDefault="00BF1C05" w:rsidP="00BF1C05">
      <w:pPr>
        <w:spacing w:before="100" w:beforeAutospacing="1" w:after="100" w:afterAutospacing="1" w:line="480" w:lineRule="auto"/>
        <w:jc w:val="center"/>
        <w:rPr>
          <w:rFonts w:ascii="Times New Roman" w:hAnsi="Times New Roman" w:cs="Times New Roman"/>
          <w:sz w:val="24"/>
          <w:szCs w:val="24"/>
        </w:rPr>
      </w:pPr>
    </w:p>
    <w:p w:rsidR="00BF1C05" w:rsidRDefault="00BF1C05" w:rsidP="00BF1C05">
      <w:pPr>
        <w:spacing w:before="100" w:beforeAutospacing="1" w:after="100" w:afterAutospacing="1" w:line="480" w:lineRule="auto"/>
        <w:jc w:val="center"/>
        <w:rPr>
          <w:rFonts w:ascii="Times New Roman" w:hAnsi="Times New Roman" w:cs="Times New Roman"/>
          <w:sz w:val="24"/>
          <w:szCs w:val="24"/>
        </w:rPr>
      </w:pPr>
    </w:p>
    <w:p w:rsidR="00BF1C05" w:rsidRDefault="00BF1C05" w:rsidP="00BF1C05">
      <w:pPr>
        <w:spacing w:before="100" w:beforeAutospacing="1" w:after="100" w:afterAutospacing="1" w:line="480" w:lineRule="auto"/>
        <w:jc w:val="center"/>
        <w:rPr>
          <w:rFonts w:ascii="Times New Roman" w:hAnsi="Times New Roman" w:cs="Times New Roman"/>
          <w:sz w:val="24"/>
          <w:szCs w:val="24"/>
        </w:rPr>
      </w:pPr>
    </w:p>
    <w:p w:rsidR="00811597" w:rsidRPr="00BF1C05" w:rsidRDefault="00811597" w:rsidP="00BF1C05">
      <w:pPr>
        <w:spacing w:before="100" w:beforeAutospacing="1" w:after="100" w:afterAutospacing="1" w:line="480" w:lineRule="auto"/>
        <w:jc w:val="center"/>
        <w:rPr>
          <w:rFonts w:ascii="Times New Roman" w:hAnsi="Times New Roman" w:cs="Times New Roman"/>
          <w:sz w:val="24"/>
          <w:szCs w:val="24"/>
        </w:rPr>
      </w:pPr>
      <w:r w:rsidRPr="00BF1C05">
        <w:rPr>
          <w:rFonts w:ascii="Times New Roman" w:hAnsi="Times New Roman" w:cs="Times New Roman"/>
          <w:sz w:val="24"/>
          <w:szCs w:val="24"/>
        </w:rPr>
        <w:t>Culture and Gender Inequality</w:t>
      </w:r>
    </w:p>
    <w:p w:rsidR="00BF1C05" w:rsidRPr="00BF1C05" w:rsidRDefault="00BF1C05" w:rsidP="00BF1C05">
      <w:pPr>
        <w:spacing w:before="100" w:beforeAutospacing="1" w:after="100" w:afterAutospacing="1" w:line="480" w:lineRule="auto"/>
        <w:jc w:val="center"/>
        <w:rPr>
          <w:rFonts w:ascii="Times New Roman" w:hAnsi="Times New Roman" w:cs="Times New Roman"/>
          <w:sz w:val="24"/>
          <w:szCs w:val="24"/>
        </w:rPr>
      </w:pPr>
      <w:r w:rsidRPr="00BF1C05">
        <w:rPr>
          <w:rFonts w:ascii="Times New Roman" w:hAnsi="Times New Roman" w:cs="Times New Roman"/>
          <w:sz w:val="24"/>
          <w:szCs w:val="24"/>
        </w:rPr>
        <w:t xml:space="preserve">Student Name </w:t>
      </w:r>
    </w:p>
    <w:p w:rsidR="00BF1C05" w:rsidRPr="00BF1C05" w:rsidRDefault="00BF1C05" w:rsidP="00BF1C05">
      <w:pPr>
        <w:spacing w:before="100" w:beforeAutospacing="1" w:after="100" w:afterAutospacing="1" w:line="480" w:lineRule="auto"/>
        <w:jc w:val="center"/>
        <w:rPr>
          <w:rFonts w:ascii="Times New Roman" w:hAnsi="Times New Roman" w:cs="Times New Roman"/>
          <w:sz w:val="24"/>
          <w:szCs w:val="24"/>
        </w:rPr>
      </w:pPr>
      <w:r w:rsidRPr="00BF1C05">
        <w:rPr>
          <w:rFonts w:ascii="Times New Roman" w:hAnsi="Times New Roman" w:cs="Times New Roman"/>
          <w:sz w:val="24"/>
          <w:szCs w:val="24"/>
        </w:rPr>
        <w:t xml:space="preserve">Professor’s Name </w:t>
      </w:r>
    </w:p>
    <w:p w:rsidR="00BF1C05" w:rsidRDefault="00BF1C05" w:rsidP="00BF1C05">
      <w:pPr>
        <w:spacing w:before="100" w:beforeAutospacing="1" w:after="100" w:afterAutospacing="1" w:line="480" w:lineRule="auto"/>
        <w:jc w:val="center"/>
        <w:rPr>
          <w:rFonts w:ascii="Times New Roman" w:hAnsi="Times New Roman" w:cs="Times New Roman"/>
          <w:sz w:val="24"/>
          <w:szCs w:val="24"/>
        </w:rPr>
      </w:pPr>
      <w:r w:rsidRPr="00BF1C05">
        <w:rPr>
          <w:rFonts w:ascii="Times New Roman" w:hAnsi="Times New Roman" w:cs="Times New Roman"/>
          <w:sz w:val="24"/>
          <w:szCs w:val="24"/>
        </w:rPr>
        <w:t xml:space="preserve">Institution </w:t>
      </w:r>
    </w:p>
    <w:p w:rsidR="00BF1C05" w:rsidRDefault="00BF1C05" w:rsidP="00BF1C05">
      <w:pPr>
        <w:spacing w:before="100" w:beforeAutospacing="1" w:after="100" w:afterAutospacing="1" w:line="480" w:lineRule="auto"/>
        <w:jc w:val="center"/>
        <w:rPr>
          <w:rFonts w:ascii="Times New Roman" w:hAnsi="Times New Roman" w:cs="Times New Roman"/>
          <w:sz w:val="24"/>
          <w:szCs w:val="24"/>
        </w:rPr>
      </w:pPr>
    </w:p>
    <w:p w:rsidR="00BF1C05" w:rsidRDefault="00BF1C05" w:rsidP="00BF1C05">
      <w:pPr>
        <w:spacing w:before="100" w:beforeAutospacing="1" w:after="100" w:afterAutospacing="1" w:line="480" w:lineRule="auto"/>
        <w:jc w:val="center"/>
        <w:rPr>
          <w:rFonts w:ascii="Times New Roman" w:hAnsi="Times New Roman" w:cs="Times New Roman"/>
          <w:sz w:val="24"/>
          <w:szCs w:val="24"/>
        </w:rPr>
      </w:pPr>
    </w:p>
    <w:p w:rsidR="00BF1C05" w:rsidRDefault="00BF1C05" w:rsidP="00BF1C05">
      <w:pPr>
        <w:spacing w:before="100" w:beforeAutospacing="1" w:after="100" w:afterAutospacing="1" w:line="480" w:lineRule="auto"/>
        <w:jc w:val="center"/>
        <w:rPr>
          <w:rFonts w:ascii="Times New Roman" w:hAnsi="Times New Roman" w:cs="Times New Roman"/>
          <w:sz w:val="24"/>
          <w:szCs w:val="24"/>
        </w:rPr>
      </w:pPr>
    </w:p>
    <w:p w:rsidR="00BF1C05" w:rsidRPr="00BF1C05" w:rsidRDefault="00BF1C05" w:rsidP="00BF1C05">
      <w:pPr>
        <w:spacing w:before="100" w:beforeAutospacing="1" w:after="100" w:afterAutospacing="1" w:line="480" w:lineRule="auto"/>
        <w:jc w:val="center"/>
        <w:rPr>
          <w:rFonts w:ascii="Times New Roman" w:hAnsi="Times New Roman" w:cs="Times New Roman"/>
          <w:sz w:val="24"/>
          <w:szCs w:val="24"/>
        </w:rPr>
      </w:pPr>
    </w:p>
    <w:p w:rsidR="00BF1C05" w:rsidRDefault="00BF1C05" w:rsidP="00BF1C05">
      <w:pPr>
        <w:spacing w:before="100" w:beforeAutospacing="1" w:after="100" w:afterAutospacing="1" w:line="480" w:lineRule="auto"/>
        <w:rPr>
          <w:rFonts w:ascii="Times New Roman" w:hAnsi="Times New Roman" w:cs="Times New Roman"/>
          <w:b/>
          <w:sz w:val="24"/>
          <w:szCs w:val="24"/>
        </w:rPr>
      </w:pPr>
    </w:p>
    <w:p w:rsidR="00BF1C05" w:rsidRPr="00BF1C05" w:rsidRDefault="00BF1C05" w:rsidP="00BF1C05">
      <w:pPr>
        <w:spacing w:line="480" w:lineRule="auto"/>
        <w:rPr>
          <w:rFonts w:ascii="Calibri" w:eastAsia="Times New Roman" w:hAnsi="Calibri" w:cs="Calibri"/>
        </w:rPr>
      </w:pPr>
      <w:r w:rsidRPr="00BF1C05">
        <w:rPr>
          <w:rFonts w:ascii="Times New Roman" w:eastAsia="Times New Roman" w:hAnsi="Times New Roman" w:cs="Times New Roman"/>
          <w:sz w:val="24"/>
          <w:szCs w:val="24"/>
        </w:rPr>
        <w:lastRenderedPageBreak/>
        <w:t>Tentative Thesis Statement: Culture has a direct play on Gender Inequality</w:t>
      </w:r>
    </w:p>
    <w:p w:rsidR="00BF1C05" w:rsidRPr="00BF1C05" w:rsidRDefault="00BF1C05" w:rsidP="00BF1C05">
      <w:pPr>
        <w:spacing w:line="480" w:lineRule="auto"/>
        <w:ind w:firstLine="720"/>
        <w:rPr>
          <w:rFonts w:ascii="Calibri" w:eastAsia="Times New Roman" w:hAnsi="Calibri" w:cs="Calibri"/>
        </w:rPr>
      </w:pPr>
      <w:r w:rsidRPr="00BF1C05">
        <w:rPr>
          <w:rFonts w:ascii="Times New Roman" w:eastAsia="Times New Roman" w:hAnsi="Times New Roman" w:cs="Times New Roman"/>
          <w:sz w:val="24"/>
          <w:szCs w:val="24"/>
        </w:rPr>
        <w:t>Culture is defined as the customs, ideas, and social behavior shared by a society. Gender inequality, in a nutshell, is the acknowledgment that women and men are not equal as well as the fact that each individual's life experience is affected by gender in one way or another. Cultural norms play a major role in encouraging or discouraging gender inequality in society. In the United States, for instance, gender inequality has been diminishing in the recent past.</w:t>
      </w:r>
    </w:p>
    <w:p w:rsidR="00BF1C05" w:rsidRPr="00BF1C05" w:rsidRDefault="00BF1C05" w:rsidP="00BF1C05">
      <w:pPr>
        <w:spacing w:line="480" w:lineRule="auto"/>
        <w:ind w:firstLine="720"/>
        <w:rPr>
          <w:rFonts w:ascii="Calibri" w:eastAsia="Times New Roman" w:hAnsi="Calibri" w:cs="Calibri"/>
        </w:rPr>
      </w:pPr>
      <w:r w:rsidRPr="00BF1C05">
        <w:rPr>
          <w:rFonts w:ascii="Times New Roman" w:eastAsia="Times New Roman" w:hAnsi="Times New Roman" w:cs="Times New Roman"/>
          <w:sz w:val="24"/>
          <w:szCs w:val="24"/>
        </w:rPr>
        <w:t xml:space="preserve">However, there remain cases of the same in the form of disparity in women's political participation and representation, unequal distribution of domestic labor, and occupational segregation (Nollenberger et al., 2016).  Research in the recent past has shown that United States women spend about twice as much time on housework as their male counterparts. It has also been noted that being employed does not necessarily mean their exemption from housework. In fact, word has it that women who earn or work more in the US do more housework. This is seen as a way of reasserting traditional sexuality and a method of making their career success less threatening. </w:t>
      </w:r>
    </w:p>
    <w:p w:rsidR="00BF1C05" w:rsidRPr="00BF1C05" w:rsidRDefault="00BF1C05" w:rsidP="00BF1C05">
      <w:pPr>
        <w:spacing w:line="480" w:lineRule="auto"/>
        <w:ind w:firstLine="720"/>
        <w:rPr>
          <w:rFonts w:ascii="Calibri" w:eastAsia="Times New Roman" w:hAnsi="Calibri" w:cs="Calibri"/>
        </w:rPr>
      </w:pPr>
      <w:r w:rsidRPr="00BF1C05">
        <w:rPr>
          <w:rFonts w:ascii="Times New Roman" w:eastAsia="Times New Roman" w:hAnsi="Times New Roman" w:cs="Times New Roman"/>
          <w:sz w:val="24"/>
          <w:szCs w:val="24"/>
        </w:rPr>
        <w:t>According to Prof. Stephanie Coontz, one of the factors that contribute to gender inequality in the United States is that most men still expect women and men to assume traditional gender roles in the households and for women to carry out a large share of their housework. The above-described assumption has been noted to create the second shift or double burden; this applies where working women in heterosexual marriages with a working partner spend significantly more time on household chores and childcare. Moreover, it has been noted that even with activists pioneering for gender equality in the United States, a large extent of the essential and traditionally feminine tasks remain to be done by women. Men, on the other hand, have the privilege of doing non-essential tasks such as mowing the lawn or taking out the trash.</w:t>
      </w:r>
    </w:p>
    <w:p w:rsidR="00BF1C05" w:rsidRPr="00BF1C05" w:rsidRDefault="00BF1C05" w:rsidP="00BF1C05">
      <w:pPr>
        <w:spacing w:line="480" w:lineRule="auto"/>
        <w:ind w:firstLine="720"/>
        <w:rPr>
          <w:rFonts w:ascii="Calibri" w:eastAsia="Times New Roman" w:hAnsi="Calibri" w:cs="Calibri"/>
        </w:rPr>
      </w:pPr>
      <w:r w:rsidRPr="00BF1C05">
        <w:rPr>
          <w:rFonts w:ascii="Times New Roman" w:eastAsia="Times New Roman" w:hAnsi="Times New Roman" w:cs="Times New Roman"/>
          <w:sz w:val="24"/>
          <w:szCs w:val="24"/>
        </w:rPr>
        <w:t xml:space="preserve">Household work encompasses many tasks including parenting. Culture has shaped how the population in the United States handles matters to do with parenting. The role of raising a newborn is largely seen as a feminine role in the sense that most of the time is spent with their mothers (Collet et al., 2015). Researchers have expressed the need to unsex mothering. Fathering, mothering, and parenting have been given more concise definitions to help unwrap the misunderstanding around each of these terms. "Mothering" can be expressed as the parental primary relationship. On the other hand, "fathering" needs to be unsexed from the breadwinner status. "Mothers" and "fathers" would be "parents" first in an ideal world; this is because being a parent includes all forms of caretaking. </w:t>
      </w:r>
    </w:p>
    <w:p w:rsidR="00BF1C05" w:rsidRPr="00BF1C05" w:rsidRDefault="00BF1C05" w:rsidP="00BF1C05">
      <w:pPr>
        <w:spacing w:line="480" w:lineRule="auto"/>
        <w:ind w:firstLine="720"/>
        <w:rPr>
          <w:rFonts w:ascii="Calibri" w:eastAsia="Times New Roman" w:hAnsi="Calibri" w:cs="Calibri"/>
        </w:rPr>
      </w:pPr>
      <w:r w:rsidRPr="00BF1C05">
        <w:rPr>
          <w:rFonts w:ascii="Times New Roman" w:eastAsia="Times New Roman" w:hAnsi="Times New Roman" w:cs="Times New Roman"/>
          <w:sz w:val="24"/>
          <w:szCs w:val="24"/>
        </w:rPr>
        <w:t xml:space="preserve">Cultural conventions have largely reduced parenting to a woman's job. There is no compensation for the "job". On the contrary, men are presumed to be uninterested or even incapable of performing such household tasks. Unwinding this problem, parenting from bio sex roles, translates to the building of a family setup that liberates for culturally sexed women and men in addition to the potential for the equality of LGBT parents.  There is truly a direct relation between gender inequality and the general culture of the people in the United States. </w:t>
      </w:r>
    </w:p>
    <w:p w:rsidR="00BF1C05" w:rsidRPr="00BF1C05" w:rsidRDefault="00BF1C05" w:rsidP="00BF1C05">
      <w:pPr>
        <w:spacing w:line="480" w:lineRule="auto"/>
        <w:ind w:firstLine="720"/>
        <w:rPr>
          <w:rFonts w:ascii="Calibri" w:eastAsia="Times New Roman" w:hAnsi="Calibri" w:cs="Calibri"/>
        </w:rPr>
      </w:pPr>
      <w:r w:rsidRPr="00BF1C05">
        <w:rPr>
          <w:rFonts w:ascii="Times New Roman" w:eastAsia="Times New Roman" w:hAnsi="Times New Roman" w:cs="Times New Roman"/>
          <w:sz w:val="24"/>
          <w:szCs w:val="24"/>
        </w:rPr>
        <w:t>Even with all the efforts to bring to an end the gender inequality, a majority of men remain to be absent from parenting as part of household works; their economic prowess tends to "blind" them and thus end up paying the price with little or no time for their families (Collet et al., 2015). Some women end up being financially impoverished but rich in familial responsibilities. In the recent past, many cases of women having to quit their jobs just to have household chores, including raising their newborns, done to their husband's satisfaction have been reported. This implies that the cultural setup still dictates how men and women are perceived in society. A significant portion of members in society embrace the thought that men express weakness by being present in their families whenever it is possible and that some duties are feminine by nature. </w:t>
      </w:r>
    </w:p>
    <w:p w:rsidR="00811597" w:rsidRPr="00811597" w:rsidRDefault="00811597" w:rsidP="00BF1C05">
      <w:pPr>
        <w:spacing w:before="100" w:beforeAutospacing="1" w:after="100" w:afterAutospacing="1" w:line="480" w:lineRule="auto"/>
        <w:rPr>
          <w:rFonts w:ascii="Times New Roman" w:hAnsi="Times New Roman" w:cs="Times New Roman"/>
          <w:sz w:val="24"/>
          <w:szCs w:val="24"/>
        </w:rPr>
      </w:pPr>
    </w:p>
    <w:p w:rsidR="00811597" w:rsidRPr="00811597" w:rsidRDefault="00811597" w:rsidP="00BF1C05">
      <w:pPr>
        <w:spacing w:before="100" w:beforeAutospacing="1" w:after="100" w:afterAutospacing="1" w:line="480" w:lineRule="auto"/>
        <w:rPr>
          <w:rFonts w:ascii="Times New Roman" w:hAnsi="Times New Roman" w:cs="Times New Roman"/>
          <w:sz w:val="24"/>
          <w:szCs w:val="24"/>
        </w:rPr>
      </w:pPr>
    </w:p>
    <w:p w:rsidR="00811597" w:rsidRPr="00811597" w:rsidRDefault="00811597" w:rsidP="00BF1C05">
      <w:pPr>
        <w:spacing w:before="100" w:beforeAutospacing="1" w:after="100" w:afterAutospacing="1" w:line="480" w:lineRule="auto"/>
        <w:rPr>
          <w:rFonts w:ascii="Times New Roman" w:hAnsi="Times New Roman" w:cs="Times New Roman"/>
          <w:sz w:val="24"/>
          <w:szCs w:val="24"/>
        </w:rPr>
      </w:pPr>
    </w:p>
    <w:p w:rsidR="00811597" w:rsidRPr="00811597" w:rsidRDefault="00811597" w:rsidP="00BF1C05">
      <w:pPr>
        <w:spacing w:before="100" w:beforeAutospacing="1" w:after="100" w:afterAutospacing="1" w:line="480" w:lineRule="auto"/>
        <w:rPr>
          <w:rFonts w:ascii="Times New Roman" w:hAnsi="Times New Roman" w:cs="Times New Roman"/>
          <w:sz w:val="24"/>
          <w:szCs w:val="24"/>
        </w:rPr>
      </w:pPr>
    </w:p>
    <w:p w:rsidR="00811597" w:rsidRPr="00811597" w:rsidRDefault="00811597" w:rsidP="00BF1C05">
      <w:pPr>
        <w:spacing w:before="100" w:beforeAutospacing="1" w:after="100" w:afterAutospacing="1" w:line="480" w:lineRule="auto"/>
        <w:rPr>
          <w:rFonts w:ascii="Times New Roman" w:hAnsi="Times New Roman" w:cs="Times New Roman"/>
          <w:sz w:val="24"/>
          <w:szCs w:val="24"/>
        </w:rPr>
      </w:pPr>
    </w:p>
    <w:p w:rsidR="00811597" w:rsidRPr="00811597" w:rsidRDefault="00811597" w:rsidP="00BF1C05">
      <w:pPr>
        <w:spacing w:before="100" w:beforeAutospacing="1" w:after="100" w:afterAutospacing="1" w:line="480" w:lineRule="auto"/>
        <w:rPr>
          <w:rFonts w:ascii="Times New Roman" w:hAnsi="Times New Roman" w:cs="Times New Roman"/>
          <w:sz w:val="24"/>
          <w:szCs w:val="24"/>
        </w:rPr>
      </w:pPr>
    </w:p>
    <w:p w:rsidR="00811597" w:rsidRPr="00811597" w:rsidRDefault="00811597" w:rsidP="00BF1C05">
      <w:pPr>
        <w:spacing w:before="100" w:beforeAutospacing="1" w:after="100" w:afterAutospacing="1" w:line="480" w:lineRule="auto"/>
        <w:rPr>
          <w:rFonts w:ascii="Times New Roman" w:hAnsi="Times New Roman" w:cs="Times New Roman"/>
          <w:sz w:val="24"/>
          <w:szCs w:val="24"/>
        </w:rPr>
      </w:pPr>
    </w:p>
    <w:p w:rsidR="00811597" w:rsidRPr="00811597" w:rsidRDefault="00811597" w:rsidP="00BF1C05">
      <w:pPr>
        <w:spacing w:before="100" w:beforeAutospacing="1" w:after="100" w:afterAutospacing="1" w:line="480" w:lineRule="auto"/>
        <w:rPr>
          <w:rFonts w:ascii="Times New Roman" w:hAnsi="Times New Roman" w:cs="Times New Roman"/>
          <w:sz w:val="24"/>
          <w:szCs w:val="24"/>
        </w:rPr>
      </w:pPr>
    </w:p>
    <w:p w:rsidR="00811597" w:rsidRPr="00811597" w:rsidRDefault="00811597" w:rsidP="00BF1C05">
      <w:pPr>
        <w:spacing w:before="100" w:beforeAutospacing="1" w:after="100" w:afterAutospacing="1" w:line="480" w:lineRule="auto"/>
        <w:rPr>
          <w:rFonts w:ascii="Times New Roman" w:hAnsi="Times New Roman" w:cs="Times New Roman"/>
          <w:sz w:val="24"/>
          <w:szCs w:val="24"/>
        </w:rPr>
      </w:pPr>
    </w:p>
    <w:p w:rsidR="00811597" w:rsidRPr="00811597" w:rsidRDefault="00811597" w:rsidP="00BF1C05">
      <w:pPr>
        <w:spacing w:before="100" w:beforeAutospacing="1" w:after="100" w:afterAutospacing="1" w:line="480" w:lineRule="auto"/>
        <w:rPr>
          <w:rFonts w:ascii="Times New Roman" w:hAnsi="Times New Roman" w:cs="Times New Roman"/>
          <w:sz w:val="24"/>
          <w:szCs w:val="24"/>
        </w:rPr>
      </w:pPr>
    </w:p>
    <w:p w:rsidR="00811597" w:rsidRPr="00811597" w:rsidRDefault="00811597" w:rsidP="00BF1C05">
      <w:pPr>
        <w:spacing w:before="100" w:beforeAutospacing="1" w:after="100" w:afterAutospacing="1" w:line="480" w:lineRule="auto"/>
        <w:rPr>
          <w:rFonts w:ascii="Times New Roman" w:hAnsi="Times New Roman" w:cs="Times New Roman"/>
          <w:sz w:val="24"/>
          <w:szCs w:val="24"/>
        </w:rPr>
      </w:pPr>
    </w:p>
    <w:p w:rsidR="002B7A9A" w:rsidRDefault="002B7A9A" w:rsidP="00BF1C05">
      <w:pPr>
        <w:spacing w:before="100" w:beforeAutospacing="1" w:after="100" w:afterAutospacing="1" w:line="480" w:lineRule="auto"/>
        <w:rPr>
          <w:rFonts w:ascii="Times New Roman" w:hAnsi="Times New Roman" w:cs="Times New Roman"/>
          <w:sz w:val="24"/>
          <w:szCs w:val="24"/>
        </w:rPr>
      </w:pPr>
    </w:p>
    <w:p w:rsidR="001D7E43" w:rsidRDefault="001D7E43" w:rsidP="00BF1C05">
      <w:pPr>
        <w:spacing w:before="100" w:beforeAutospacing="1" w:after="100" w:afterAutospacing="1" w:line="480" w:lineRule="auto"/>
        <w:rPr>
          <w:rFonts w:ascii="Times New Roman" w:hAnsi="Times New Roman" w:cs="Times New Roman"/>
          <w:sz w:val="24"/>
          <w:szCs w:val="24"/>
        </w:rPr>
      </w:pPr>
    </w:p>
    <w:p w:rsidR="001D7E43" w:rsidRDefault="001D7E43" w:rsidP="00BF1C05">
      <w:pPr>
        <w:spacing w:before="100" w:beforeAutospacing="1" w:after="100" w:afterAutospacing="1" w:line="480" w:lineRule="auto"/>
        <w:rPr>
          <w:rFonts w:ascii="Times New Roman" w:hAnsi="Times New Roman" w:cs="Times New Roman"/>
          <w:sz w:val="24"/>
          <w:szCs w:val="24"/>
        </w:rPr>
      </w:pPr>
      <w:bookmarkStart w:id="0" w:name="_GoBack"/>
      <w:bookmarkEnd w:id="0"/>
    </w:p>
    <w:p w:rsidR="00811597" w:rsidRPr="00811597" w:rsidRDefault="00811597" w:rsidP="00BF1C05">
      <w:pPr>
        <w:spacing w:before="100" w:beforeAutospacing="1" w:after="100" w:afterAutospacing="1" w:line="480" w:lineRule="auto"/>
        <w:jc w:val="center"/>
        <w:rPr>
          <w:rFonts w:ascii="Times New Roman" w:hAnsi="Times New Roman" w:cs="Times New Roman"/>
          <w:b/>
          <w:sz w:val="24"/>
          <w:szCs w:val="24"/>
        </w:rPr>
      </w:pPr>
      <w:r w:rsidRPr="00811597">
        <w:rPr>
          <w:rFonts w:ascii="Times New Roman" w:hAnsi="Times New Roman" w:cs="Times New Roman"/>
          <w:b/>
          <w:sz w:val="24"/>
          <w:szCs w:val="24"/>
        </w:rPr>
        <w:t>References</w:t>
      </w:r>
    </w:p>
    <w:p w:rsidR="00811597" w:rsidRDefault="00811597" w:rsidP="00BF1C05">
      <w:pPr>
        <w:spacing w:before="100" w:beforeAutospacing="1" w:after="100" w:afterAutospacing="1" w:line="480" w:lineRule="auto"/>
        <w:ind w:left="720" w:hanging="720"/>
        <w:rPr>
          <w:rFonts w:ascii="Times New Roman" w:hAnsi="Times New Roman" w:cs="Times New Roman"/>
          <w:sz w:val="24"/>
          <w:szCs w:val="24"/>
        </w:rPr>
      </w:pPr>
      <w:r w:rsidRPr="00811597">
        <w:rPr>
          <w:rFonts w:ascii="Times New Roman" w:hAnsi="Times New Roman" w:cs="Times New Roman"/>
          <w:sz w:val="24"/>
          <w:szCs w:val="24"/>
        </w:rPr>
        <w:t>Collett, J. L., Vercel, K., &amp; Boykin, O. (2015). Using identity processes to understand persistent inequality in parenting. Social Psychology Quarterly, 78(4), 345-364.</w:t>
      </w:r>
    </w:p>
    <w:p w:rsidR="00BF1C05" w:rsidRPr="00811597" w:rsidRDefault="00BF1C05" w:rsidP="00BF1C05">
      <w:pPr>
        <w:spacing w:before="100" w:beforeAutospacing="1" w:after="100" w:afterAutospacing="1" w:line="480" w:lineRule="auto"/>
        <w:ind w:left="720" w:hanging="720"/>
        <w:rPr>
          <w:rFonts w:ascii="Times New Roman" w:hAnsi="Times New Roman" w:cs="Times New Roman"/>
          <w:sz w:val="24"/>
          <w:szCs w:val="24"/>
        </w:rPr>
      </w:pPr>
      <w:r w:rsidRPr="00811597">
        <w:rPr>
          <w:rFonts w:ascii="Times New Roman" w:hAnsi="Times New Roman" w:cs="Times New Roman"/>
          <w:sz w:val="24"/>
          <w:szCs w:val="24"/>
        </w:rPr>
        <w:t>Coontz, Stephanie (February 16, 2013). "Why gender equality stalled". The New York Times. New York: NYTC. I</w:t>
      </w:r>
      <w:r>
        <w:rPr>
          <w:rFonts w:ascii="Times New Roman" w:hAnsi="Times New Roman" w:cs="Times New Roman"/>
          <w:sz w:val="24"/>
          <w:szCs w:val="24"/>
        </w:rPr>
        <w:t>SSN 0362-4331. Retrieved April 27, 2020</w:t>
      </w:r>
      <w:r w:rsidRPr="00811597">
        <w:rPr>
          <w:rFonts w:ascii="Times New Roman" w:hAnsi="Times New Roman" w:cs="Times New Roman"/>
          <w:sz w:val="24"/>
          <w:szCs w:val="24"/>
        </w:rPr>
        <w:t>.</w:t>
      </w:r>
    </w:p>
    <w:p w:rsidR="00283AAD" w:rsidRPr="00811597" w:rsidRDefault="00811597" w:rsidP="00BF1C05">
      <w:pPr>
        <w:spacing w:before="100" w:beforeAutospacing="1" w:after="100" w:afterAutospacing="1" w:line="480" w:lineRule="auto"/>
        <w:ind w:left="720" w:hanging="720"/>
        <w:rPr>
          <w:rFonts w:ascii="Times New Roman" w:hAnsi="Times New Roman" w:cs="Times New Roman"/>
          <w:sz w:val="24"/>
          <w:szCs w:val="24"/>
        </w:rPr>
      </w:pPr>
      <w:r w:rsidRPr="00811597">
        <w:rPr>
          <w:rFonts w:ascii="Times New Roman" w:hAnsi="Times New Roman" w:cs="Times New Roman"/>
          <w:sz w:val="24"/>
          <w:szCs w:val="24"/>
        </w:rPr>
        <w:t>Nollenberger, N., Rodríguez-Planas, N., &amp; Sevilla, A. (2016). The math gender gap: The role of culture. American Economic Review, 106(5), 257-61.</w:t>
      </w:r>
    </w:p>
    <w:sectPr w:rsidR="00283AAD" w:rsidRPr="00811597" w:rsidSect="00BF1C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912" w:rsidRDefault="00821912" w:rsidP="00BF1C05">
      <w:pPr>
        <w:spacing w:after="0" w:line="240" w:lineRule="auto"/>
      </w:pPr>
      <w:r>
        <w:separator/>
      </w:r>
    </w:p>
  </w:endnote>
  <w:endnote w:type="continuationSeparator" w:id="0">
    <w:p w:rsidR="00821912" w:rsidRDefault="00821912" w:rsidP="00BF1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912" w:rsidRDefault="00821912" w:rsidP="00BF1C05">
      <w:pPr>
        <w:spacing w:after="0" w:line="240" w:lineRule="auto"/>
      </w:pPr>
      <w:r>
        <w:separator/>
      </w:r>
    </w:p>
  </w:footnote>
  <w:footnote w:type="continuationSeparator" w:id="0">
    <w:p w:rsidR="00821912" w:rsidRDefault="00821912" w:rsidP="00BF1C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1C05" w:rsidRPr="00BF1C05" w:rsidRDefault="00BF1C05" w:rsidP="00BF1C05">
    <w:pPr>
      <w:spacing w:after="0" w:line="480" w:lineRule="auto"/>
      <w:rPr>
        <w:rFonts w:ascii="Times New Roman" w:hAnsi="Times New Roman" w:cs="Times New Roman"/>
        <w:sz w:val="24"/>
        <w:szCs w:val="24"/>
      </w:rPr>
    </w:pPr>
    <w:r w:rsidRPr="00BF1C05">
      <w:rPr>
        <w:rFonts w:ascii="Times New Roman" w:hAnsi="Times New Roman" w:cs="Times New Roman"/>
        <w:sz w:val="24"/>
        <w:szCs w:val="24"/>
      </w:rPr>
      <w:t>CULTURE AND GENDER INEQUALITY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274011880"/>
        <w:docPartObj>
          <w:docPartGallery w:val="Page Numbers (Top of Page)"/>
          <w:docPartUnique/>
        </w:docPartObj>
      </w:sdtPr>
      <w:sdtEndPr>
        <w:rPr>
          <w:rFonts w:ascii="Times New Roman" w:hAnsi="Times New Roman" w:cs="Times New Roman"/>
          <w:noProof/>
          <w:sz w:val="24"/>
          <w:szCs w:val="24"/>
        </w:rPr>
      </w:sdtEndPr>
      <w:sdtContent>
        <w:r w:rsidRPr="00BF1C05">
          <w:rPr>
            <w:rFonts w:ascii="Times New Roman" w:hAnsi="Times New Roman" w:cs="Times New Roman"/>
            <w:sz w:val="24"/>
            <w:szCs w:val="24"/>
          </w:rPr>
          <w:fldChar w:fldCharType="begin"/>
        </w:r>
        <w:r w:rsidRPr="00BF1C05">
          <w:rPr>
            <w:rFonts w:ascii="Times New Roman" w:hAnsi="Times New Roman" w:cs="Times New Roman"/>
            <w:sz w:val="24"/>
            <w:szCs w:val="24"/>
          </w:rPr>
          <w:instrText xml:space="preserve"> PAGE   \* MERGEFORMAT </w:instrText>
        </w:r>
        <w:r w:rsidRPr="00BF1C05">
          <w:rPr>
            <w:rFonts w:ascii="Times New Roman" w:hAnsi="Times New Roman" w:cs="Times New Roman"/>
            <w:sz w:val="24"/>
            <w:szCs w:val="24"/>
          </w:rPr>
          <w:fldChar w:fldCharType="separate"/>
        </w:r>
        <w:r w:rsidR="001D7E43">
          <w:rPr>
            <w:rFonts w:ascii="Times New Roman" w:hAnsi="Times New Roman" w:cs="Times New Roman"/>
            <w:noProof/>
            <w:sz w:val="24"/>
            <w:szCs w:val="24"/>
          </w:rPr>
          <w:t>5</w:t>
        </w:r>
        <w:r w:rsidRPr="00BF1C0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1C05" w:rsidRPr="00BF1C05" w:rsidRDefault="00BF1C05" w:rsidP="00BF1C05">
    <w:pPr>
      <w:spacing w:after="0" w:line="480" w:lineRule="auto"/>
      <w:rPr>
        <w:rFonts w:ascii="Times New Roman" w:hAnsi="Times New Roman" w:cs="Times New Roman"/>
        <w:sz w:val="24"/>
        <w:szCs w:val="24"/>
      </w:rPr>
    </w:pPr>
    <w:r w:rsidRPr="00BF1C05">
      <w:rPr>
        <w:rFonts w:ascii="Times New Roman" w:hAnsi="Times New Roman" w:cs="Times New Roman"/>
        <w:sz w:val="24"/>
        <w:szCs w:val="24"/>
      </w:rPr>
      <w:t>Running Head: CULTURE AND GENDER INEQUALITY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574322092"/>
        <w:docPartObj>
          <w:docPartGallery w:val="Page Numbers (Top of Page)"/>
          <w:docPartUnique/>
        </w:docPartObj>
      </w:sdtPr>
      <w:sdtEndPr>
        <w:rPr>
          <w:rFonts w:ascii="Times New Roman" w:hAnsi="Times New Roman" w:cs="Times New Roman"/>
          <w:noProof/>
          <w:sz w:val="24"/>
          <w:szCs w:val="24"/>
        </w:rPr>
      </w:sdtEndPr>
      <w:sdtContent>
        <w:r w:rsidRPr="00BF1C05">
          <w:rPr>
            <w:rFonts w:ascii="Times New Roman" w:hAnsi="Times New Roman" w:cs="Times New Roman"/>
            <w:sz w:val="24"/>
            <w:szCs w:val="24"/>
          </w:rPr>
          <w:fldChar w:fldCharType="begin"/>
        </w:r>
        <w:r w:rsidRPr="00BF1C05">
          <w:rPr>
            <w:rFonts w:ascii="Times New Roman" w:hAnsi="Times New Roman" w:cs="Times New Roman"/>
            <w:sz w:val="24"/>
            <w:szCs w:val="24"/>
          </w:rPr>
          <w:instrText xml:space="preserve"> PAGE   \* MERGEFORMAT </w:instrText>
        </w:r>
        <w:r w:rsidRPr="00BF1C05">
          <w:rPr>
            <w:rFonts w:ascii="Times New Roman" w:hAnsi="Times New Roman" w:cs="Times New Roman"/>
            <w:sz w:val="24"/>
            <w:szCs w:val="24"/>
          </w:rPr>
          <w:fldChar w:fldCharType="separate"/>
        </w:r>
        <w:r w:rsidR="00821912">
          <w:rPr>
            <w:rFonts w:ascii="Times New Roman" w:hAnsi="Times New Roman" w:cs="Times New Roman"/>
            <w:noProof/>
            <w:sz w:val="24"/>
            <w:szCs w:val="24"/>
          </w:rPr>
          <w:t>1</w:t>
        </w:r>
        <w:r w:rsidRPr="00BF1C0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597"/>
    <w:rsid w:val="001D7E43"/>
    <w:rsid w:val="002B7A9A"/>
    <w:rsid w:val="00624FB9"/>
    <w:rsid w:val="006C7432"/>
    <w:rsid w:val="00811597"/>
    <w:rsid w:val="00821912"/>
    <w:rsid w:val="00AF5E8E"/>
    <w:rsid w:val="00BF1C05"/>
    <w:rsid w:val="00F72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3DF042-357B-44D6-A9FA-1096AA967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1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C05"/>
  </w:style>
  <w:style w:type="paragraph" w:styleId="Footer">
    <w:name w:val="footer"/>
    <w:basedOn w:val="Normal"/>
    <w:link w:val="FooterChar"/>
    <w:uiPriority w:val="99"/>
    <w:unhideWhenUsed/>
    <w:rsid w:val="00BF1C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067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cp:lastModifiedBy>
  <cp:revision>3</cp:revision>
  <dcterms:created xsi:type="dcterms:W3CDTF">2020-04-27T20:55:00Z</dcterms:created>
  <dcterms:modified xsi:type="dcterms:W3CDTF">2020-04-27T12:44:00Z</dcterms:modified>
</cp:coreProperties>
</file>